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556" w:rsidRDefault="009C1556" w:rsidP="009C1556">
      <w:pPr>
        <w:spacing w:line="480" w:lineRule="auto"/>
        <w:jc w:val="center"/>
        <w:rPr>
          <w:rFonts w:ascii="Times New Roman" w:hAnsi="Times New Roman" w:cs="Times New Roman"/>
          <w:sz w:val="24"/>
          <w:szCs w:val="24"/>
        </w:rPr>
      </w:pPr>
    </w:p>
    <w:p w:rsidR="009C1556" w:rsidRDefault="009C1556" w:rsidP="009C1556">
      <w:pPr>
        <w:spacing w:line="480" w:lineRule="auto"/>
        <w:jc w:val="center"/>
        <w:rPr>
          <w:rFonts w:ascii="Times New Roman" w:hAnsi="Times New Roman" w:cs="Times New Roman"/>
          <w:sz w:val="24"/>
          <w:szCs w:val="24"/>
        </w:rPr>
      </w:pPr>
    </w:p>
    <w:p w:rsidR="009C1556" w:rsidRDefault="009C1556" w:rsidP="009C1556">
      <w:pPr>
        <w:spacing w:line="480" w:lineRule="auto"/>
        <w:jc w:val="center"/>
        <w:rPr>
          <w:rFonts w:ascii="Times New Roman" w:hAnsi="Times New Roman" w:cs="Times New Roman"/>
          <w:sz w:val="24"/>
          <w:szCs w:val="24"/>
        </w:rPr>
      </w:pPr>
    </w:p>
    <w:p w:rsidR="009C1556" w:rsidRDefault="009C1556" w:rsidP="009C1556">
      <w:pPr>
        <w:spacing w:line="480" w:lineRule="auto"/>
        <w:jc w:val="center"/>
        <w:rPr>
          <w:rFonts w:ascii="Times New Roman" w:hAnsi="Times New Roman" w:cs="Times New Roman"/>
          <w:sz w:val="24"/>
          <w:szCs w:val="24"/>
        </w:rPr>
      </w:pPr>
    </w:p>
    <w:p w:rsidR="009C1556" w:rsidRDefault="009C1556" w:rsidP="009C1556">
      <w:pPr>
        <w:spacing w:line="480" w:lineRule="auto"/>
        <w:jc w:val="center"/>
        <w:rPr>
          <w:rFonts w:ascii="Times New Roman" w:hAnsi="Times New Roman" w:cs="Times New Roman"/>
          <w:sz w:val="24"/>
          <w:szCs w:val="24"/>
        </w:rPr>
      </w:pPr>
    </w:p>
    <w:p w:rsidR="00AB55F9" w:rsidRPr="00F1472C" w:rsidRDefault="000F0310" w:rsidP="009C1556">
      <w:pPr>
        <w:spacing w:line="480" w:lineRule="auto"/>
        <w:jc w:val="center"/>
        <w:rPr>
          <w:rFonts w:ascii="Times New Roman" w:hAnsi="Times New Roman" w:cs="Times New Roman"/>
          <w:sz w:val="24"/>
          <w:szCs w:val="24"/>
        </w:rPr>
      </w:pPr>
      <w:r>
        <w:rPr>
          <w:rFonts w:ascii="Times New Roman" w:hAnsi="Times New Roman" w:cs="Times New Roman"/>
          <w:sz w:val="24"/>
          <w:szCs w:val="24"/>
        </w:rPr>
        <w:t>Rogike Britton</w:t>
      </w:r>
    </w:p>
    <w:p w:rsidR="00AB55F9" w:rsidRPr="00F1472C" w:rsidRDefault="000F0310" w:rsidP="009C1556">
      <w:pPr>
        <w:spacing w:line="480" w:lineRule="auto"/>
        <w:jc w:val="center"/>
        <w:rPr>
          <w:rFonts w:ascii="Times New Roman" w:hAnsi="Times New Roman" w:cs="Times New Roman"/>
          <w:sz w:val="24"/>
          <w:szCs w:val="24"/>
        </w:rPr>
      </w:pPr>
      <w:r>
        <w:rPr>
          <w:rFonts w:ascii="Times New Roman" w:hAnsi="Times New Roman" w:cs="Times New Roman"/>
          <w:sz w:val="24"/>
          <w:szCs w:val="24"/>
        </w:rPr>
        <w:t>Walden University</w:t>
      </w:r>
    </w:p>
    <w:p w:rsidR="00AB55F9" w:rsidRPr="00F1472C" w:rsidRDefault="00CD1E9F" w:rsidP="009C1556">
      <w:pPr>
        <w:spacing w:line="480" w:lineRule="auto"/>
        <w:jc w:val="center"/>
        <w:rPr>
          <w:rFonts w:ascii="Times New Roman" w:hAnsi="Times New Roman" w:cs="Times New Roman"/>
          <w:sz w:val="24"/>
          <w:szCs w:val="24"/>
        </w:rPr>
      </w:pPr>
      <w:r>
        <w:rPr>
          <w:rFonts w:ascii="Times New Roman" w:hAnsi="Times New Roman" w:cs="Times New Roman"/>
          <w:sz w:val="24"/>
          <w:szCs w:val="24"/>
        </w:rPr>
        <w:t>CRJS-6218</w:t>
      </w:r>
    </w:p>
    <w:p w:rsidR="00AB55F9" w:rsidRDefault="00CD1E9F" w:rsidP="009C1556">
      <w:pPr>
        <w:spacing w:line="480" w:lineRule="auto"/>
        <w:jc w:val="center"/>
        <w:rPr>
          <w:rFonts w:ascii="Times New Roman" w:hAnsi="Times New Roman" w:cs="Times New Roman"/>
          <w:sz w:val="24"/>
          <w:szCs w:val="24"/>
        </w:rPr>
      </w:pPr>
      <w:r>
        <w:rPr>
          <w:rFonts w:ascii="Times New Roman" w:hAnsi="Times New Roman" w:cs="Times New Roman"/>
          <w:sz w:val="24"/>
          <w:szCs w:val="24"/>
        </w:rPr>
        <w:t>November 5, 2017</w:t>
      </w:r>
    </w:p>
    <w:p w:rsidR="00CD1E9F" w:rsidRPr="00F1472C" w:rsidRDefault="00CD1E9F" w:rsidP="009C1556">
      <w:pPr>
        <w:spacing w:line="480" w:lineRule="auto"/>
        <w:jc w:val="center"/>
        <w:rPr>
          <w:rFonts w:ascii="Times New Roman" w:hAnsi="Times New Roman" w:cs="Times New Roman"/>
          <w:sz w:val="24"/>
          <w:szCs w:val="24"/>
        </w:rPr>
      </w:pPr>
    </w:p>
    <w:p w:rsidR="009C1556" w:rsidRDefault="009C1556" w:rsidP="00F1472C">
      <w:pPr>
        <w:spacing w:line="480" w:lineRule="auto"/>
        <w:jc w:val="center"/>
        <w:rPr>
          <w:rFonts w:ascii="Times New Roman" w:hAnsi="Times New Roman" w:cs="Times New Roman"/>
          <w:b/>
          <w:sz w:val="24"/>
          <w:szCs w:val="24"/>
        </w:rPr>
      </w:pPr>
    </w:p>
    <w:p w:rsidR="009C1556" w:rsidRDefault="009C1556" w:rsidP="00F1472C">
      <w:pPr>
        <w:spacing w:line="480" w:lineRule="auto"/>
        <w:jc w:val="center"/>
        <w:rPr>
          <w:rFonts w:ascii="Times New Roman" w:hAnsi="Times New Roman" w:cs="Times New Roman"/>
          <w:b/>
          <w:sz w:val="24"/>
          <w:szCs w:val="24"/>
        </w:rPr>
      </w:pPr>
    </w:p>
    <w:p w:rsidR="009C1556" w:rsidRDefault="009C1556" w:rsidP="00F1472C">
      <w:pPr>
        <w:spacing w:line="480" w:lineRule="auto"/>
        <w:jc w:val="center"/>
        <w:rPr>
          <w:rFonts w:ascii="Times New Roman" w:hAnsi="Times New Roman" w:cs="Times New Roman"/>
          <w:b/>
          <w:sz w:val="24"/>
          <w:szCs w:val="24"/>
        </w:rPr>
      </w:pPr>
    </w:p>
    <w:p w:rsidR="009C1556" w:rsidRDefault="009C1556" w:rsidP="00F1472C">
      <w:pPr>
        <w:spacing w:line="480" w:lineRule="auto"/>
        <w:jc w:val="center"/>
        <w:rPr>
          <w:rFonts w:ascii="Times New Roman" w:hAnsi="Times New Roman" w:cs="Times New Roman"/>
          <w:b/>
          <w:sz w:val="24"/>
          <w:szCs w:val="24"/>
        </w:rPr>
      </w:pPr>
    </w:p>
    <w:p w:rsidR="009C1556" w:rsidRDefault="009C1556" w:rsidP="00F1472C">
      <w:pPr>
        <w:spacing w:line="480" w:lineRule="auto"/>
        <w:jc w:val="center"/>
        <w:rPr>
          <w:rFonts w:ascii="Times New Roman" w:hAnsi="Times New Roman" w:cs="Times New Roman"/>
          <w:b/>
          <w:sz w:val="24"/>
          <w:szCs w:val="24"/>
        </w:rPr>
      </w:pPr>
    </w:p>
    <w:p w:rsidR="009C1556" w:rsidRDefault="009C1556" w:rsidP="00F1472C">
      <w:pPr>
        <w:spacing w:line="480" w:lineRule="auto"/>
        <w:jc w:val="center"/>
        <w:rPr>
          <w:rFonts w:ascii="Times New Roman" w:hAnsi="Times New Roman" w:cs="Times New Roman"/>
          <w:b/>
          <w:sz w:val="24"/>
          <w:szCs w:val="24"/>
        </w:rPr>
      </w:pPr>
    </w:p>
    <w:p w:rsidR="009C1556" w:rsidRDefault="009C1556" w:rsidP="00F1472C">
      <w:pPr>
        <w:spacing w:line="480" w:lineRule="auto"/>
        <w:jc w:val="center"/>
        <w:rPr>
          <w:rFonts w:ascii="Times New Roman" w:hAnsi="Times New Roman" w:cs="Times New Roman"/>
          <w:b/>
          <w:sz w:val="24"/>
          <w:szCs w:val="24"/>
        </w:rPr>
      </w:pPr>
    </w:p>
    <w:p w:rsidR="009C1556" w:rsidRDefault="009C1556" w:rsidP="00F1472C">
      <w:pPr>
        <w:spacing w:line="480" w:lineRule="auto"/>
        <w:jc w:val="center"/>
        <w:rPr>
          <w:rFonts w:ascii="Times New Roman" w:hAnsi="Times New Roman" w:cs="Times New Roman"/>
          <w:b/>
          <w:sz w:val="24"/>
          <w:szCs w:val="24"/>
        </w:rPr>
      </w:pPr>
    </w:p>
    <w:p w:rsidR="00F1472C" w:rsidRPr="00F1472C" w:rsidRDefault="00F1472C" w:rsidP="00CD1E9F">
      <w:pPr>
        <w:spacing w:line="480" w:lineRule="auto"/>
        <w:jc w:val="center"/>
        <w:rPr>
          <w:rFonts w:ascii="Times New Roman" w:hAnsi="Times New Roman" w:cs="Times New Roman"/>
          <w:b/>
          <w:sz w:val="24"/>
          <w:szCs w:val="24"/>
        </w:rPr>
      </w:pPr>
      <w:r w:rsidRPr="00F1472C">
        <w:rPr>
          <w:rFonts w:ascii="Times New Roman" w:hAnsi="Times New Roman" w:cs="Times New Roman"/>
          <w:b/>
          <w:sz w:val="24"/>
          <w:szCs w:val="24"/>
        </w:rPr>
        <w:lastRenderedPageBreak/>
        <w:t>Federal Offenders</w:t>
      </w:r>
    </w:p>
    <w:p w:rsidR="001E26E4"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An overview of Recidivism study findings</w:t>
      </w:r>
    </w:p>
    <w:p w:rsidR="003D287A"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Table 1</w:t>
      </w:r>
    </w:p>
    <w:tbl>
      <w:tblPr>
        <w:tblStyle w:val="TableGrid"/>
        <w:tblW w:w="0" w:type="auto"/>
        <w:tblLook w:val="04A0"/>
      </w:tblPr>
      <w:tblGrid>
        <w:gridCol w:w="2337"/>
        <w:gridCol w:w="2337"/>
        <w:gridCol w:w="2338"/>
        <w:gridCol w:w="2338"/>
      </w:tblGrid>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Recidivism measure</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Rearrests</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reconviction</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reincarceration</w:t>
            </w:r>
          </w:p>
        </w:tc>
      </w:tr>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Percent</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49.3%</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31.7%</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24.6%</w:t>
            </w:r>
          </w:p>
        </w:tc>
      </w:tr>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Median time to recidivism</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21 months</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30 months</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29 months</w:t>
            </w:r>
          </w:p>
        </w:tc>
      </w:tr>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Median number of recidivism events</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w:t>
            </w:r>
          </w:p>
        </w:tc>
      </w:tr>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Most serious post-release event (%)</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Assault (23.3%)</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Assault (23.9%)</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Assault (23.8%)</w:t>
            </w:r>
          </w:p>
        </w:tc>
      </w:tr>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Median age at release</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33</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32</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32</w:t>
            </w:r>
          </w:p>
        </w:tc>
      </w:tr>
    </w:tbl>
    <w:p w:rsidR="004005F2" w:rsidRDefault="004005F2" w:rsidP="00F1472C">
      <w:pPr>
        <w:spacing w:line="480" w:lineRule="auto"/>
        <w:rPr>
          <w:rFonts w:ascii="Times New Roman" w:hAnsi="Times New Roman" w:cs="Times New Roman"/>
          <w:sz w:val="24"/>
          <w:szCs w:val="24"/>
        </w:rPr>
      </w:pPr>
    </w:p>
    <w:p w:rsidR="00286F4F" w:rsidRPr="00286F4F" w:rsidRDefault="00286F4F" w:rsidP="00286F4F">
      <w:pPr>
        <w:spacing w:line="480" w:lineRule="auto"/>
        <w:ind w:firstLine="720"/>
        <w:rPr>
          <w:rFonts w:ascii="Times New Roman" w:hAnsi="Times New Roman" w:cs="Times New Roman"/>
          <w:sz w:val="24"/>
          <w:szCs w:val="24"/>
        </w:rPr>
      </w:pPr>
      <w:r w:rsidRPr="00286F4F">
        <w:rPr>
          <w:rFonts w:ascii="Times New Roman" w:hAnsi="Times New Roman" w:cs="Times New Roman"/>
          <w:sz w:val="24"/>
          <w:szCs w:val="24"/>
        </w:rPr>
        <w:t>About half of the offenders who were set free were rearrested for having committed a new crime or having violated the conditions of their supervision over the eight-year follow-up period. Around one-half of the offenders, re-arrest took place in less than two years following their release from prison or placement on probation since the median for rearrests is twenty-one months. Following those offenders who recidivated, the median number of re-arrest was two, but 21.2 percent of them were rearrested either five times or even more. Also, 23.3 % of those re-arrested had an assault as their most serious charge. In addition to that, other common serious offenses were other public order, drug-trafficking and larceny with a record of; 15.5%, 11.5%, and 7.7% respectively.</w:t>
      </w:r>
    </w:p>
    <w:p w:rsidR="00286F4F" w:rsidRPr="00286F4F" w:rsidRDefault="00286F4F" w:rsidP="00286F4F">
      <w:pPr>
        <w:spacing w:line="480" w:lineRule="auto"/>
        <w:ind w:firstLine="720"/>
        <w:rPr>
          <w:rFonts w:ascii="Times New Roman" w:hAnsi="Times New Roman" w:cs="Times New Roman"/>
          <w:sz w:val="24"/>
          <w:szCs w:val="24"/>
        </w:rPr>
      </w:pPr>
      <w:r w:rsidRPr="00286F4F">
        <w:rPr>
          <w:rFonts w:ascii="Times New Roman" w:hAnsi="Times New Roman" w:cs="Times New Roman"/>
          <w:sz w:val="24"/>
          <w:szCs w:val="24"/>
        </w:rPr>
        <w:lastRenderedPageBreak/>
        <w:t>To the policing officers, recidivism will help in removing the offender from the society, and it is also important when considering core criminal justice topics such as certain deterrence, incapacitation, and rehabilitation.</w:t>
      </w:r>
    </w:p>
    <w:p w:rsidR="00286F4F" w:rsidRPr="00F1472C" w:rsidRDefault="00286F4F" w:rsidP="00286F4F">
      <w:pPr>
        <w:spacing w:line="480" w:lineRule="auto"/>
        <w:rPr>
          <w:rFonts w:ascii="Times New Roman" w:hAnsi="Times New Roman" w:cs="Times New Roman"/>
          <w:sz w:val="24"/>
          <w:szCs w:val="24"/>
        </w:rPr>
      </w:pPr>
      <w:r w:rsidRPr="00286F4F">
        <w:rPr>
          <w:rFonts w:ascii="Times New Roman" w:hAnsi="Times New Roman" w:cs="Times New Roman"/>
          <w:sz w:val="24"/>
          <w:szCs w:val="24"/>
        </w:rPr>
        <w:t>Rearrests rates for recidivism study offenders</w:t>
      </w:r>
    </w:p>
    <w:p w:rsidR="003D287A"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Table 2</w:t>
      </w:r>
    </w:p>
    <w:tbl>
      <w:tblPr>
        <w:tblStyle w:val="TableGrid"/>
        <w:tblW w:w="0" w:type="auto"/>
        <w:tblLook w:val="04A0"/>
      </w:tblPr>
      <w:tblGrid>
        <w:gridCol w:w="3116"/>
        <w:gridCol w:w="3117"/>
        <w:gridCol w:w="3117"/>
      </w:tblGrid>
      <w:tr w:rsidR="00AB41B8" w:rsidRPr="00F1472C" w:rsidTr="005E1803">
        <w:tc>
          <w:tcPr>
            <w:tcW w:w="3116" w:type="dxa"/>
          </w:tcPr>
          <w:p w:rsidR="00AB41B8" w:rsidRPr="00F1472C" w:rsidRDefault="00AB41B8" w:rsidP="00F1472C">
            <w:pPr>
              <w:spacing w:line="480" w:lineRule="auto"/>
              <w:rPr>
                <w:rFonts w:ascii="Times New Roman" w:hAnsi="Times New Roman" w:cs="Times New Roman"/>
                <w:sz w:val="24"/>
                <w:szCs w:val="24"/>
              </w:rPr>
            </w:pPr>
          </w:p>
        </w:tc>
        <w:tc>
          <w:tcPr>
            <w:tcW w:w="3117" w:type="dxa"/>
          </w:tcPr>
          <w:p w:rsidR="00AB41B8" w:rsidRPr="00F1472C" w:rsidRDefault="00AB41B8" w:rsidP="00F1472C">
            <w:pPr>
              <w:spacing w:line="480" w:lineRule="auto"/>
              <w:rPr>
                <w:rFonts w:ascii="Times New Roman" w:hAnsi="Times New Roman" w:cs="Times New Roman"/>
                <w:sz w:val="24"/>
                <w:szCs w:val="24"/>
              </w:rPr>
            </w:pPr>
          </w:p>
        </w:tc>
        <w:tc>
          <w:tcPr>
            <w:tcW w:w="3117"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Cumulative</w:t>
            </w:r>
          </w:p>
          <w:p w:rsidR="00AB41B8" w:rsidRPr="00F1472C" w:rsidRDefault="00AB41B8" w:rsidP="00F1472C">
            <w:pPr>
              <w:spacing w:line="480" w:lineRule="auto"/>
              <w:rPr>
                <w:rFonts w:ascii="Times New Roman" w:hAnsi="Times New Roman" w:cs="Times New Roman"/>
                <w:sz w:val="24"/>
                <w:szCs w:val="24"/>
              </w:rPr>
            </w:pP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Years after release</w:t>
            </w:r>
          </w:p>
        </w:tc>
        <w:tc>
          <w:tcPr>
            <w:tcW w:w="311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w:t>
            </w:r>
          </w:p>
        </w:tc>
        <w:tc>
          <w:tcPr>
            <w:tcW w:w="311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One year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16.6%</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16.6%</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Two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10.5%</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27.1%</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Three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6.6%</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33.7%</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Four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4.7%</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38.4%</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Five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3.7%</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42.1%</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Six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3.0%</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45.1%</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Seven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2.3%</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47.5%</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Eight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1.8%</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49.3%</w:t>
            </w:r>
          </w:p>
        </w:tc>
      </w:tr>
    </w:tbl>
    <w:p w:rsidR="004005F2" w:rsidRDefault="004005F2" w:rsidP="00F1472C">
      <w:pPr>
        <w:spacing w:line="480" w:lineRule="auto"/>
        <w:rPr>
          <w:rFonts w:ascii="Times New Roman" w:hAnsi="Times New Roman" w:cs="Times New Roman"/>
          <w:sz w:val="24"/>
          <w:szCs w:val="24"/>
        </w:rPr>
      </w:pPr>
    </w:p>
    <w:p w:rsidR="00286F4F" w:rsidRPr="00286F4F" w:rsidRDefault="00286F4F" w:rsidP="00286F4F">
      <w:pPr>
        <w:spacing w:line="480" w:lineRule="auto"/>
        <w:ind w:firstLine="720"/>
        <w:rPr>
          <w:rFonts w:ascii="Times New Roman" w:hAnsi="Times New Roman" w:cs="Times New Roman"/>
          <w:sz w:val="24"/>
          <w:szCs w:val="24"/>
        </w:rPr>
      </w:pPr>
      <w:r w:rsidRPr="00286F4F">
        <w:rPr>
          <w:rFonts w:ascii="Times New Roman" w:hAnsi="Times New Roman" w:cs="Times New Roman"/>
          <w:sz w:val="24"/>
          <w:szCs w:val="24"/>
        </w:rPr>
        <w:t>The length of time to the first recidivism event can be useful in differentiating offenders who recidivate early from those who do not. During the first year after releases into the society, 16.6 % of the offenders were re-arrested for the first time. During the subsequent years, fewer people were re-arrested for the first time than in the previous year, all the way to the seventh year. For instance, 10.5% of the total were re-arrested during the second year, and 6.6% were re-</w:t>
      </w:r>
      <w:r w:rsidRPr="00286F4F">
        <w:rPr>
          <w:rFonts w:ascii="Times New Roman" w:hAnsi="Times New Roman" w:cs="Times New Roman"/>
          <w:sz w:val="24"/>
          <w:szCs w:val="24"/>
        </w:rPr>
        <w:lastRenderedPageBreak/>
        <w:t>arrested in the third year. Tracking the length of time helps the policy makers to come up with the appropriate period of supervision after release. The court system will be in a position to deliver the period which best fits a certain offender.</w:t>
      </w:r>
    </w:p>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Offense types and criminal history scores of recidivism study offenders</w:t>
      </w:r>
    </w:p>
    <w:p w:rsidR="003D287A"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Table 3</w:t>
      </w:r>
    </w:p>
    <w:tbl>
      <w:tblPr>
        <w:tblStyle w:val="TableGrid"/>
        <w:tblW w:w="0" w:type="auto"/>
        <w:tblLook w:val="04A0"/>
      </w:tblPr>
      <w:tblGrid>
        <w:gridCol w:w="4675"/>
        <w:gridCol w:w="4675"/>
      </w:tblGrid>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Offense type</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Drug trafficking</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41.7%</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Fraud</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13.6%</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Firearms</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12.8%</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Robbery</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4.3%</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Larceny</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3.9%</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Immigration</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3.5%</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All other</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20.3%</w:t>
            </w:r>
          </w:p>
        </w:tc>
      </w:tr>
    </w:tbl>
    <w:p w:rsidR="00AB41B8" w:rsidRPr="00F1472C" w:rsidRDefault="00AB41B8" w:rsidP="00F1472C">
      <w:pPr>
        <w:spacing w:line="480" w:lineRule="auto"/>
        <w:rPr>
          <w:rFonts w:ascii="Times New Roman" w:hAnsi="Times New Roman" w:cs="Times New Roman"/>
          <w:sz w:val="24"/>
          <w:szCs w:val="24"/>
        </w:rPr>
      </w:pPr>
    </w:p>
    <w:p w:rsidR="00286F4F" w:rsidRPr="00286F4F" w:rsidRDefault="00286F4F" w:rsidP="00286F4F">
      <w:pPr>
        <w:spacing w:line="480" w:lineRule="auto"/>
        <w:ind w:firstLine="720"/>
        <w:rPr>
          <w:rFonts w:ascii="Times New Roman" w:hAnsi="Times New Roman" w:cs="Times New Roman"/>
          <w:sz w:val="24"/>
          <w:szCs w:val="24"/>
        </w:rPr>
      </w:pPr>
      <w:r w:rsidRPr="00286F4F">
        <w:rPr>
          <w:rFonts w:ascii="Times New Roman" w:hAnsi="Times New Roman" w:cs="Times New Roman"/>
          <w:sz w:val="24"/>
          <w:szCs w:val="24"/>
        </w:rPr>
        <w:t xml:space="preserve">41.7 percent of federal offenders were released after receiving a conviction for a federal offense of drug trafficking. Other common federal offenses included fraud, firearm, robbery, larceny, and immigration with a percentage of 13.6, 12.8, 4.3, 3.9, and 3.5 respectively. Criminal records are vital when it comes to consideration during the sentencing period. The offenders who are sentenced in the federal system receive criminal history points before the release of the sentence following the number and severity of the previous criminal conduct. For instance, every previous sentence of imprisonment greater than one year and one month usually receives three points. Also, if the offender committed the offense while under another criminal justice sentence </w:t>
      </w:r>
      <w:r w:rsidRPr="00286F4F">
        <w:rPr>
          <w:rFonts w:ascii="Times New Roman" w:hAnsi="Times New Roman" w:cs="Times New Roman"/>
          <w:sz w:val="24"/>
          <w:szCs w:val="24"/>
        </w:rPr>
        <w:lastRenderedPageBreak/>
        <w:t xml:space="preserve">such as probation, two extra points are usually added. Following the number of points, the court will be in </w:t>
      </w:r>
      <w:r w:rsidR="00035756" w:rsidRPr="00286F4F">
        <w:rPr>
          <w:rFonts w:ascii="Times New Roman" w:hAnsi="Times New Roman" w:cs="Times New Roman"/>
          <w:sz w:val="24"/>
          <w:szCs w:val="24"/>
        </w:rPr>
        <w:t>opposition</w:t>
      </w:r>
      <w:r w:rsidRPr="00286F4F">
        <w:rPr>
          <w:rFonts w:ascii="Times New Roman" w:hAnsi="Times New Roman" w:cs="Times New Roman"/>
          <w:sz w:val="24"/>
          <w:szCs w:val="24"/>
        </w:rPr>
        <w:t xml:space="preserve"> to determine the sentencing range.</w:t>
      </w:r>
    </w:p>
    <w:p w:rsidR="00AB41B8" w:rsidRDefault="00035756" w:rsidP="00F1472C">
      <w:pPr>
        <w:tabs>
          <w:tab w:val="left" w:pos="5985"/>
        </w:tabs>
        <w:rPr>
          <w:rFonts w:ascii="Times New Roman" w:hAnsi="Times New Roman" w:cs="Times New Roman"/>
          <w:sz w:val="24"/>
          <w:szCs w:val="24"/>
        </w:rPr>
      </w:pPr>
      <w:r>
        <w:rPr>
          <w:rFonts w:ascii="Times New Roman" w:hAnsi="Times New Roman" w:cs="Times New Roman"/>
          <w:sz w:val="24"/>
          <w:szCs w:val="24"/>
        </w:rPr>
        <w:t xml:space="preserve">References </w:t>
      </w:r>
    </w:p>
    <w:p w:rsidR="00000000" w:rsidRPr="00035756" w:rsidRDefault="00850F3B" w:rsidP="00035756">
      <w:pPr>
        <w:tabs>
          <w:tab w:val="left" w:pos="5985"/>
        </w:tabs>
        <w:spacing w:line="480" w:lineRule="auto"/>
        <w:ind w:left="360"/>
        <w:rPr>
          <w:rFonts w:ascii="Times New Roman" w:hAnsi="Times New Roman" w:cs="Times New Roman"/>
          <w:sz w:val="24"/>
          <w:szCs w:val="24"/>
        </w:rPr>
      </w:pPr>
      <w:hyperlink r:id="rId7" w:history="1">
        <w:r w:rsidRPr="00035756">
          <w:rPr>
            <w:rStyle w:val="Hyperlink"/>
            <w:rFonts w:ascii="Times New Roman" w:hAnsi="Times New Roman" w:cs="Times New Roman"/>
            <w:sz w:val="24"/>
            <w:szCs w:val="24"/>
          </w:rPr>
          <w:t>"§ 668. Theft of major artwork"</w:t>
        </w:r>
      </w:hyperlink>
      <w:r w:rsidRPr="00035756">
        <w:rPr>
          <w:rFonts w:ascii="Times New Roman" w:hAnsi="Times New Roman" w:cs="Times New Roman"/>
          <w:sz w:val="24"/>
          <w:szCs w:val="24"/>
        </w:rPr>
        <w:t xml:space="preserve">. Legal Information Institute. Retrieved November 13, 2017 </w:t>
      </w:r>
    </w:p>
    <w:p w:rsidR="00000000" w:rsidRPr="00035756" w:rsidRDefault="00850F3B" w:rsidP="00035756">
      <w:pPr>
        <w:tabs>
          <w:tab w:val="left" w:pos="5985"/>
        </w:tabs>
        <w:spacing w:line="480" w:lineRule="auto"/>
        <w:ind w:left="360"/>
        <w:rPr>
          <w:rFonts w:ascii="Times New Roman" w:hAnsi="Times New Roman" w:cs="Times New Roman"/>
          <w:sz w:val="24"/>
          <w:szCs w:val="24"/>
        </w:rPr>
      </w:pPr>
      <w:r w:rsidRPr="00035756">
        <w:rPr>
          <w:rFonts w:ascii="Times New Roman" w:hAnsi="Times New Roman" w:cs="Times New Roman"/>
          <w:sz w:val="24"/>
          <w:szCs w:val="24"/>
        </w:rPr>
        <w:t> </w:t>
      </w:r>
      <w:hyperlink r:id="rId8" w:history="1">
        <w:r w:rsidRPr="00035756">
          <w:rPr>
            <w:rStyle w:val="Hyperlink"/>
            <w:rFonts w:ascii="Times New Roman" w:hAnsi="Times New Roman" w:cs="Times New Roman"/>
            <w:sz w:val="24"/>
            <w:szCs w:val="24"/>
          </w:rPr>
          <w:t>"Attacks on President Now Federal Crime"</w:t>
        </w:r>
      </w:hyperlink>
      <w:r w:rsidRPr="00035756">
        <w:rPr>
          <w:rFonts w:ascii="Times New Roman" w:hAnsi="Times New Roman" w:cs="Times New Roman"/>
          <w:sz w:val="24"/>
          <w:szCs w:val="24"/>
        </w:rPr>
        <w:t>. </w:t>
      </w:r>
      <w:hyperlink r:id="rId9" w:history="1">
        <w:r w:rsidRPr="00035756">
          <w:rPr>
            <w:rStyle w:val="Hyperlink"/>
            <w:rFonts w:ascii="Times New Roman" w:hAnsi="Times New Roman" w:cs="Times New Roman"/>
            <w:sz w:val="24"/>
            <w:szCs w:val="24"/>
          </w:rPr>
          <w:t>The New York Times</w:t>
        </w:r>
      </w:hyperlink>
      <w:r w:rsidRPr="00035756">
        <w:rPr>
          <w:rFonts w:ascii="Times New Roman" w:hAnsi="Times New Roman" w:cs="Times New Roman"/>
          <w:sz w:val="24"/>
          <w:szCs w:val="24"/>
        </w:rPr>
        <w:t>. September 1, 1965. Retrieved 2009-10-05. A bill that would make killing, kidnapping or attacking a President a Federal crime has been signed by President Johnson. Retrieved November 13, 2017</w:t>
      </w:r>
    </w:p>
    <w:p w:rsidR="00000000" w:rsidRPr="00035756" w:rsidRDefault="00850F3B" w:rsidP="00035756">
      <w:pPr>
        <w:tabs>
          <w:tab w:val="left" w:pos="5985"/>
        </w:tabs>
        <w:spacing w:line="480" w:lineRule="auto"/>
        <w:ind w:left="360"/>
        <w:rPr>
          <w:rFonts w:ascii="Times New Roman" w:hAnsi="Times New Roman" w:cs="Times New Roman"/>
          <w:sz w:val="24"/>
          <w:szCs w:val="24"/>
        </w:rPr>
      </w:pPr>
      <w:r w:rsidRPr="00035756">
        <w:rPr>
          <w:rFonts w:ascii="Times New Roman" w:hAnsi="Times New Roman" w:cs="Times New Roman"/>
          <w:sz w:val="24"/>
          <w:szCs w:val="24"/>
        </w:rPr>
        <w:t> </w:t>
      </w:r>
      <w:hyperlink r:id="rId10" w:history="1">
        <w:r w:rsidRPr="00035756">
          <w:rPr>
            <w:rStyle w:val="Hyperlink"/>
            <w:rFonts w:ascii="Times New Roman" w:hAnsi="Times New Roman" w:cs="Times New Roman"/>
            <w:sz w:val="24"/>
            <w:szCs w:val="24"/>
          </w:rPr>
          <w:t>http://famm.org/Repository/Files/Chart%20841--</w:t>
        </w:r>
      </w:hyperlink>
      <w:hyperlink r:id="rId11" w:history="1">
        <w:r w:rsidRPr="00035756">
          <w:rPr>
            <w:rStyle w:val="Hyperlink"/>
            <w:rFonts w:ascii="Times New Roman" w:hAnsi="Times New Roman" w:cs="Times New Roman"/>
            <w:sz w:val="24"/>
            <w:szCs w:val="24"/>
          </w:rPr>
          <w:t>Fed%20Drug%20MMs%208.6.12.pdf</w:t>
        </w:r>
      </w:hyperlink>
      <w:r w:rsidRPr="00035756">
        <w:rPr>
          <w:rFonts w:ascii="Times New Roman" w:hAnsi="Times New Roman" w:cs="Times New Roman"/>
          <w:sz w:val="24"/>
          <w:szCs w:val="24"/>
        </w:rPr>
        <w:t>. Retrieved November 13, 2017</w:t>
      </w:r>
    </w:p>
    <w:p w:rsidR="00035756" w:rsidRDefault="00035756" w:rsidP="00035756">
      <w:pPr>
        <w:tabs>
          <w:tab w:val="left" w:pos="5985"/>
        </w:tabs>
        <w:spacing w:line="480" w:lineRule="auto"/>
        <w:rPr>
          <w:rFonts w:ascii="Times New Roman" w:hAnsi="Times New Roman" w:cs="Times New Roman"/>
          <w:sz w:val="24"/>
          <w:szCs w:val="24"/>
        </w:rPr>
      </w:pPr>
    </w:p>
    <w:p w:rsidR="00A03775" w:rsidRDefault="00A03775" w:rsidP="00035756">
      <w:pPr>
        <w:tabs>
          <w:tab w:val="left" w:pos="5985"/>
        </w:tabs>
        <w:spacing w:line="480" w:lineRule="auto"/>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2F06B6" w:rsidRDefault="002F06B6" w:rsidP="00C0253D">
      <w:pPr>
        <w:tabs>
          <w:tab w:val="left" w:pos="5985"/>
        </w:tabs>
        <w:jc w:val="center"/>
        <w:rPr>
          <w:rFonts w:ascii="Times New Roman" w:hAnsi="Times New Roman" w:cs="Times New Roman"/>
          <w:sz w:val="24"/>
          <w:szCs w:val="24"/>
        </w:rPr>
      </w:pPr>
    </w:p>
    <w:p w:rsidR="002F06B6" w:rsidRDefault="002F06B6" w:rsidP="00C0253D">
      <w:pPr>
        <w:tabs>
          <w:tab w:val="left" w:pos="5985"/>
        </w:tabs>
        <w:jc w:val="center"/>
        <w:rPr>
          <w:rFonts w:ascii="Times New Roman" w:hAnsi="Times New Roman" w:cs="Times New Roman"/>
          <w:sz w:val="24"/>
          <w:szCs w:val="24"/>
        </w:rPr>
      </w:pPr>
    </w:p>
    <w:p w:rsidR="002F06B6" w:rsidRDefault="002F06B6" w:rsidP="00C0253D">
      <w:pPr>
        <w:tabs>
          <w:tab w:val="left" w:pos="5985"/>
        </w:tabs>
        <w:jc w:val="center"/>
        <w:rPr>
          <w:rFonts w:ascii="Times New Roman" w:hAnsi="Times New Roman" w:cs="Times New Roman"/>
          <w:sz w:val="24"/>
          <w:szCs w:val="24"/>
        </w:rPr>
      </w:pPr>
    </w:p>
    <w:p w:rsidR="002F06B6" w:rsidRDefault="002F06B6" w:rsidP="00C0253D">
      <w:pPr>
        <w:tabs>
          <w:tab w:val="left" w:pos="5985"/>
        </w:tabs>
        <w:jc w:val="center"/>
        <w:rPr>
          <w:rFonts w:ascii="Times New Roman" w:hAnsi="Times New Roman" w:cs="Times New Roman"/>
          <w:sz w:val="24"/>
          <w:szCs w:val="24"/>
        </w:rPr>
      </w:pPr>
    </w:p>
    <w:p w:rsidR="002F06B6" w:rsidRDefault="002F06B6" w:rsidP="00C0253D">
      <w:pPr>
        <w:tabs>
          <w:tab w:val="left" w:pos="5985"/>
        </w:tabs>
        <w:jc w:val="center"/>
        <w:rPr>
          <w:rFonts w:ascii="Times New Roman" w:hAnsi="Times New Roman" w:cs="Times New Roman"/>
          <w:sz w:val="24"/>
          <w:szCs w:val="24"/>
        </w:rPr>
      </w:pPr>
    </w:p>
    <w:p w:rsidR="002F06B6" w:rsidRDefault="002F06B6" w:rsidP="00C0253D">
      <w:pPr>
        <w:tabs>
          <w:tab w:val="left" w:pos="5985"/>
        </w:tabs>
        <w:jc w:val="center"/>
        <w:rPr>
          <w:rFonts w:ascii="Times New Roman" w:hAnsi="Times New Roman" w:cs="Times New Roman"/>
          <w:sz w:val="24"/>
          <w:szCs w:val="24"/>
        </w:rPr>
      </w:pPr>
    </w:p>
    <w:p w:rsidR="002F06B6" w:rsidRDefault="002F06B6" w:rsidP="00C0253D">
      <w:pPr>
        <w:tabs>
          <w:tab w:val="left" w:pos="5985"/>
        </w:tabs>
        <w:jc w:val="center"/>
        <w:rPr>
          <w:rFonts w:ascii="Times New Roman" w:hAnsi="Times New Roman" w:cs="Times New Roman"/>
          <w:sz w:val="24"/>
          <w:szCs w:val="24"/>
        </w:rPr>
      </w:pPr>
    </w:p>
    <w:p w:rsidR="002F06B6" w:rsidRDefault="002F06B6" w:rsidP="00C0253D">
      <w:pPr>
        <w:tabs>
          <w:tab w:val="left" w:pos="5985"/>
        </w:tabs>
        <w:jc w:val="center"/>
        <w:rPr>
          <w:rFonts w:ascii="Times New Roman" w:hAnsi="Times New Roman" w:cs="Times New Roman"/>
          <w:sz w:val="24"/>
          <w:szCs w:val="24"/>
        </w:rPr>
      </w:pPr>
    </w:p>
    <w:p w:rsidR="002F06B6" w:rsidRDefault="002F06B6" w:rsidP="00C0253D">
      <w:pPr>
        <w:tabs>
          <w:tab w:val="left" w:pos="5985"/>
        </w:tabs>
        <w:jc w:val="center"/>
        <w:rPr>
          <w:rFonts w:ascii="Times New Roman" w:hAnsi="Times New Roman" w:cs="Times New Roman"/>
          <w:sz w:val="24"/>
          <w:szCs w:val="24"/>
        </w:rPr>
      </w:pPr>
    </w:p>
    <w:p w:rsidR="002F06B6" w:rsidRDefault="002F06B6" w:rsidP="00C0253D">
      <w:pPr>
        <w:tabs>
          <w:tab w:val="left" w:pos="5985"/>
        </w:tabs>
        <w:jc w:val="center"/>
        <w:rPr>
          <w:rFonts w:ascii="Times New Roman" w:hAnsi="Times New Roman" w:cs="Times New Roman"/>
          <w:sz w:val="24"/>
          <w:szCs w:val="24"/>
        </w:rPr>
      </w:pPr>
    </w:p>
    <w:p w:rsidR="00A03775" w:rsidRDefault="00A03775" w:rsidP="00C0253D">
      <w:pPr>
        <w:tabs>
          <w:tab w:val="left" w:pos="5985"/>
        </w:tabs>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Works Cited</w:t>
      </w:r>
    </w:p>
    <w:p w:rsidR="00C0253D" w:rsidRPr="00F1472C" w:rsidRDefault="00C0253D" w:rsidP="00C0253D">
      <w:pPr>
        <w:tabs>
          <w:tab w:val="left" w:pos="5985"/>
        </w:tabs>
        <w:spacing w:line="480" w:lineRule="auto"/>
        <w:rPr>
          <w:rFonts w:ascii="Times New Roman" w:hAnsi="Times New Roman" w:cs="Times New Roman"/>
          <w:sz w:val="24"/>
          <w:szCs w:val="24"/>
        </w:rPr>
      </w:pPr>
      <w:r w:rsidRPr="00C0253D">
        <w:rPr>
          <w:rFonts w:ascii="Times New Roman" w:hAnsi="Times New Roman" w:cs="Times New Roman"/>
          <w:sz w:val="24"/>
          <w:szCs w:val="24"/>
        </w:rPr>
        <w:t>https://www.ussc.gov/sites/default/files/pdf/research-and-publications/research-publications/2016/recidivism_overview.pdf</w:t>
      </w:r>
    </w:p>
    <w:sectPr w:rsidR="00C0253D" w:rsidRPr="00F1472C" w:rsidSect="000033E9">
      <w:headerReference w:type="defaul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0F3B" w:rsidRDefault="00850F3B" w:rsidP="00AB55F9">
      <w:pPr>
        <w:spacing w:after="0" w:line="240" w:lineRule="auto"/>
      </w:pPr>
      <w:r>
        <w:separator/>
      </w:r>
    </w:p>
  </w:endnote>
  <w:endnote w:type="continuationSeparator" w:id="1">
    <w:p w:rsidR="00850F3B" w:rsidRDefault="00850F3B" w:rsidP="00AB55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0F3B" w:rsidRDefault="00850F3B" w:rsidP="00AB55F9">
      <w:pPr>
        <w:spacing w:after="0" w:line="240" w:lineRule="auto"/>
      </w:pPr>
      <w:r>
        <w:separator/>
      </w:r>
    </w:p>
  </w:footnote>
  <w:footnote w:type="continuationSeparator" w:id="1">
    <w:p w:rsidR="00850F3B" w:rsidRDefault="00850F3B" w:rsidP="00AB55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3531111"/>
      <w:docPartObj>
        <w:docPartGallery w:val="Page Numbers (Top of Page)"/>
        <w:docPartUnique/>
      </w:docPartObj>
    </w:sdtPr>
    <w:sdtEndPr>
      <w:rPr>
        <w:noProof/>
      </w:rPr>
    </w:sdtEndPr>
    <w:sdtContent>
      <w:p w:rsidR="000F0310" w:rsidRDefault="000F0310" w:rsidP="000F0310">
        <w:pPr>
          <w:pStyle w:val="Header"/>
        </w:pPr>
        <w:r w:rsidRPr="00235D42">
          <w:rPr>
            <w:rFonts w:ascii="Times New Roman" w:hAnsi="Times New Roman" w:cs="Times New Roman"/>
            <w:sz w:val="24"/>
            <w:szCs w:val="24"/>
          </w:rPr>
          <w:t xml:space="preserve">Running head: </w:t>
        </w:r>
        <w:r>
          <w:rPr>
            <w:rFonts w:ascii="Times New Roman" w:hAnsi="Times New Roman" w:cs="Times New Roman"/>
            <w:sz w:val="24"/>
            <w:szCs w:val="24"/>
          </w:rPr>
          <w:t>FEDERAL OFFENDERS</w:t>
        </w:r>
        <w:r>
          <w:tab/>
        </w:r>
        <w:r>
          <w:tab/>
        </w:r>
        <w:r w:rsidR="000033E9">
          <w:fldChar w:fldCharType="begin"/>
        </w:r>
        <w:r>
          <w:instrText xml:space="preserve"> PAGE   \* MERGEFORMAT </w:instrText>
        </w:r>
        <w:r w:rsidR="000033E9">
          <w:fldChar w:fldCharType="separate"/>
        </w:r>
        <w:r w:rsidR="00035756">
          <w:rPr>
            <w:noProof/>
          </w:rPr>
          <w:t>5</w:t>
        </w:r>
        <w:r w:rsidR="000033E9">
          <w:rPr>
            <w:noProof/>
          </w:rPr>
          <w:fldChar w:fldCharType="end"/>
        </w:r>
      </w:p>
    </w:sdtContent>
  </w:sdt>
  <w:p w:rsidR="00AB55F9" w:rsidRPr="00AB55F9" w:rsidRDefault="00AB55F9" w:rsidP="00AB55F9">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B3596E"/>
    <w:multiLevelType w:val="hybridMultilevel"/>
    <w:tmpl w:val="62224418"/>
    <w:lvl w:ilvl="0" w:tplc="C826F00A">
      <w:start w:val="1"/>
      <w:numFmt w:val="bullet"/>
      <w:lvlText w:val="•"/>
      <w:lvlJc w:val="left"/>
      <w:pPr>
        <w:tabs>
          <w:tab w:val="num" w:pos="720"/>
        </w:tabs>
        <w:ind w:left="720" w:hanging="360"/>
      </w:pPr>
      <w:rPr>
        <w:rFonts w:ascii="Arial" w:hAnsi="Arial" w:hint="default"/>
      </w:rPr>
    </w:lvl>
    <w:lvl w:ilvl="1" w:tplc="4328D968" w:tentative="1">
      <w:start w:val="1"/>
      <w:numFmt w:val="bullet"/>
      <w:lvlText w:val="•"/>
      <w:lvlJc w:val="left"/>
      <w:pPr>
        <w:tabs>
          <w:tab w:val="num" w:pos="1440"/>
        </w:tabs>
        <w:ind w:left="1440" w:hanging="360"/>
      </w:pPr>
      <w:rPr>
        <w:rFonts w:ascii="Arial" w:hAnsi="Arial" w:hint="default"/>
      </w:rPr>
    </w:lvl>
    <w:lvl w:ilvl="2" w:tplc="0D2CA544" w:tentative="1">
      <w:start w:val="1"/>
      <w:numFmt w:val="bullet"/>
      <w:lvlText w:val="•"/>
      <w:lvlJc w:val="left"/>
      <w:pPr>
        <w:tabs>
          <w:tab w:val="num" w:pos="2160"/>
        </w:tabs>
        <w:ind w:left="2160" w:hanging="360"/>
      </w:pPr>
      <w:rPr>
        <w:rFonts w:ascii="Arial" w:hAnsi="Arial" w:hint="default"/>
      </w:rPr>
    </w:lvl>
    <w:lvl w:ilvl="3" w:tplc="A776F3C4" w:tentative="1">
      <w:start w:val="1"/>
      <w:numFmt w:val="bullet"/>
      <w:lvlText w:val="•"/>
      <w:lvlJc w:val="left"/>
      <w:pPr>
        <w:tabs>
          <w:tab w:val="num" w:pos="2880"/>
        </w:tabs>
        <w:ind w:left="2880" w:hanging="360"/>
      </w:pPr>
      <w:rPr>
        <w:rFonts w:ascii="Arial" w:hAnsi="Arial" w:hint="default"/>
      </w:rPr>
    </w:lvl>
    <w:lvl w:ilvl="4" w:tplc="62245A9C" w:tentative="1">
      <w:start w:val="1"/>
      <w:numFmt w:val="bullet"/>
      <w:lvlText w:val="•"/>
      <w:lvlJc w:val="left"/>
      <w:pPr>
        <w:tabs>
          <w:tab w:val="num" w:pos="3600"/>
        </w:tabs>
        <w:ind w:left="3600" w:hanging="360"/>
      </w:pPr>
      <w:rPr>
        <w:rFonts w:ascii="Arial" w:hAnsi="Arial" w:hint="default"/>
      </w:rPr>
    </w:lvl>
    <w:lvl w:ilvl="5" w:tplc="9EB2909A" w:tentative="1">
      <w:start w:val="1"/>
      <w:numFmt w:val="bullet"/>
      <w:lvlText w:val="•"/>
      <w:lvlJc w:val="left"/>
      <w:pPr>
        <w:tabs>
          <w:tab w:val="num" w:pos="4320"/>
        </w:tabs>
        <w:ind w:left="4320" w:hanging="360"/>
      </w:pPr>
      <w:rPr>
        <w:rFonts w:ascii="Arial" w:hAnsi="Arial" w:hint="default"/>
      </w:rPr>
    </w:lvl>
    <w:lvl w:ilvl="6" w:tplc="CA0491F8" w:tentative="1">
      <w:start w:val="1"/>
      <w:numFmt w:val="bullet"/>
      <w:lvlText w:val="•"/>
      <w:lvlJc w:val="left"/>
      <w:pPr>
        <w:tabs>
          <w:tab w:val="num" w:pos="5040"/>
        </w:tabs>
        <w:ind w:left="5040" w:hanging="360"/>
      </w:pPr>
      <w:rPr>
        <w:rFonts w:ascii="Arial" w:hAnsi="Arial" w:hint="default"/>
      </w:rPr>
    </w:lvl>
    <w:lvl w:ilvl="7" w:tplc="437C65EA" w:tentative="1">
      <w:start w:val="1"/>
      <w:numFmt w:val="bullet"/>
      <w:lvlText w:val="•"/>
      <w:lvlJc w:val="left"/>
      <w:pPr>
        <w:tabs>
          <w:tab w:val="num" w:pos="5760"/>
        </w:tabs>
        <w:ind w:left="5760" w:hanging="360"/>
      </w:pPr>
      <w:rPr>
        <w:rFonts w:ascii="Arial" w:hAnsi="Arial" w:hint="default"/>
      </w:rPr>
    </w:lvl>
    <w:lvl w:ilvl="8" w:tplc="33548CF2"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005F2"/>
    <w:rsid w:val="000033E9"/>
    <w:rsid w:val="00035756"/>
    <w:rsid w:val="000F0310"/>
    <w:rsid w:val="001E26E4"/>
    <w:rsid w:val="00286F4F"/>
    <w:rsid w:val="002F06B6"/>
    <w:rsid w:val="00357F10"/>
    <w:rsid w:val="003D287A"/>
    <w:rsid w:val="004005F2"/>
    <w:rsid w:val="00405580"/>
    <w:rsid w:val="00486A88"/>
    <w:rsid w:val="004B5313"/>
    <w:rsid w:val="0058668D"/>
    <w:rsid w:val="006E4CD4"/>
    <w:rsid w:val="00850F3B"/>
    <w:rsid w:val="009C1556"/>
    <w:rsid w:val="00A03775"/>
    <w:rsid w:val="00AB41B8"/>
    <w:rsid w:val="00AB55F9"/>
    <w:rsid w:val="00C0253D"/>
    <w:rsid w:val="00CD1E9F"/>
    <w:rsid w:val="00D11123"/>
    <w:rsid w:val="00E37340"/>
    <w:rsid w:val="00EE18F8"/>
    <w:rsid w:val="00F147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3E9"/>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05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B55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5F9"/>
  </w:style>
  <w:style w:type="paragraph" w:styleId="Footer">
    <w:name w:val="footer"/>
    <w:basedOn w:val="Normal"/>
    <w:link w:val="FooterChar"/>
    <w:uiPriority w:val="99"/>
    <w:unhideWhenUsed/>
    <w:rsid w:val="00AB55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5F9"/>
  </w:style>
  <w:style w:type="character" w:styleId="Hyperlink">
    <w:name w:val="Hyperlink"/>
    <w:basedOn w:val="DefaultParagraphFont"/>
    <w:uiPriority w:val="99"/>
    <w:unhideWhenUsed/>
    <w:rsid w:val="00035756"/>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217353287">
      <w:bodyDiv w:val="1"/>
      <w:marLeft w:val="0"/>
      <w:marRight w:val="0"/>
      <w:marTop w:val="0"/>
      <w:marBottom w:val="0"/>
      <w:divBdr>
        <w:top w:val="none" w:sz="0" w:space="0" w:color="auto"/>
        <w:left w:val="none" w:sz="0" w:space="0" w:color="auto"/>
        <w:bottom w:val="none" w:sz="0" w:space="0" w:color="auto"/>
        <w:right w:val="none" w:sz="0" w:space="0" w:color="auto"/>
      </w:divBdr>
      <w:divsChild>
        <w:div w:id="1142230244">
          <w:marLeft w:val="288"/>
          <w:marRight w:val="0"/>
          <w:marTop w:val="115"/>
          <w:marBottom w:val="0"/>
          <w:divBdr>
            <w:top w:val="none" w:sz="0" w:space="0" w:color="auto"/>
            <w:left w:val="none" w:sz="0" w:space="0" w:color="auto"/>
            <w:bottom w:val="none" w:sz="0" w:space="0" w:color="auto"/>
            <w:right w:val="none" w:sz="0" w:space="0" w:color="auto"/>
          </w:divBdr>
        </w:div>
        <w:div w:id="236718812">
          <w:marLeft w:val="288"/>
          <w:marRight w:val="0"/>
          <w:marTop w:val="115"/>
          <w:marBottom w:val="0"/>
          <w:divBdr>
            <w:top w:val="none" w:sz="0" w:space="0" w:color="auto"/>
            <w:left w:val="none" w:sz="0" w:space="0" w:color="auto"/>
            <w:bottom w:val="none" w:sz="0" w:space="0" w:color="auto"/>
            <w:right w:val="none" w:sz="0" w:space="0" w:color="auto"/>
          </w:divBdr>
        </w:div>
        <w:div w:id="867375941">
          <w:marLeft w:val="288"/>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lect.nytimes.com/gst/abstract.html?res=F70C10F83C5A157A93C3A91782D85F418685F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aw.cornell.edu/uscode/search/display.html?terms=museum&amp;url=/uscode/html/uscode18/usc_sec_18_00000668----000-.htm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famm.org/Repository/Files/Chart%20841--Fed%20Drug%20MMs%208.6.12.pdf" TargetMode="External"/><Relationship Id="rId5" Type="http://schemas.openxmlformats.org/officeDocument/2006/relationships/footnotes" Target="footnotes.xml"/><Relationship Id="rId10" Type="http://schemas.openxmlformats.org/officeDocument/2006/relationships/hyperlink" Target="http://famm.org/Repository/Files/Chart%20841--Fed%20Drug%20MMs%208.6.12.pdf" TargetMode="External"/><Relationship Id="rId4" Type="http://schemas.openxmlformats.org/officeDocument/2006/relationships/webSettings" Target="webSettings.xml"/><Relationship Id="rId9" Type="http://schemas.openxmlformats.org/officeDocument/2006/relationships/hyperlink" Target="https://en.wikipedia.org/wiki/The_New_York_Tim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1</Pages>
  <Words>718</Words>
  <Characters>4094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Ashish</cp:lastModifiedBy>
  <cp:revision>7</cp:revision>
  <dcterms:created xsi:type="dcterms:W3CDTF">2017-11-05T11:10:00Z</dcterms:created>
  <dcterms:modified xsi:type="dcterms:W3CDTF">2017-11-13T03:59:00Z</dcterms:modified>
</cp:coreProperties>
</file>